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AB2" w:rsidRPr="005701DB" w:rsidRDefault="00A04539">
      <w:pPr>
        <w:pStyle w:val="30"/>
      </w:pPr>
      <w:r w:rsidRPr="005701DB">
        <w:t>2021.11.25</w:t>
      </w:r>
    </w:p>
    <w:p w:rsidR="00436AB2" w:rsidRPr="005701DB" w:rsidRDefault="00A04539">
      <w:pPr>
        <w:pStyle w:val="20"/>
        <w:rPr>
          <w:rFonts w:ascii="Times New Roman" w:hAnsi="Times New Roman" w:cs="Times New Roman"/>
          <w:sz w:val="28"/>
          <w:szCs w:val="28"/>
        </w:rPr>
      </w:pPr>
      <w:r w:rsidRPr="005701DB">
        <w:rPr>
          <w:rFonts w:ascii="Times New Roman" w:hAnsi="Times New Roman" w:cs="Times New Roman"/>
          <w:sz w:val="28"/>
          <w:szCs w:val="28"/>
        </w:rPr>
        <w:t>College of Science Subsidization Department Scholarship Procedures for Foreign Students</w:t>
      </w:r>
    </w:p>
    <w:p w:rsidR="00436AB2" w:rsidRPr="005701DB" w:rsidRDefault="00A04539">
      <w:pPr>
        <w:pStyle w:val="a0"/>
        <w:tabs>
          <w:tab w:val="left" w:pos="650"/>
        </w:tabs>
        <w:spacing w:line="469" w:lineRule="exact"/>
        <w:rPr>
          <w:rFonts w:ascii="Times New Roman" w:hAnsi="Times New Roman" w:cs="Times New Roman"/>
          <w:sz w:val="24"/>
          <w:szCs w:val="24"/>
        </w:rPr>
      </w:pPr>
      <w:bookmarkStart w:id="0" w:name="bookmark0"/>
      <w:r w:rsidRPr="005701DB">
        <w:rPr>
          <w:rFonts w:ascii="Times New Roman" w:hAnsi="Times New Roman" w:cs="Times New Roman"/>
          <w:sz w:val="24"/>
          <w:szCs w:val="24"/>
        </w:rPr>
        <w:t>One</w:t>
      </w:r>
      <w:bookmarkEnd w:id="0"/>
      <w:r w:rsidRPr="005701DB">
        <w:rPr>
          <w:rFonts w:ascii="Times New Roman" w:hAnsi="Times New Roman" w:cs="Times New Roman"/>
          <w:b/>
          <w:sz w:val="24"/>
          <w:szCs w:val="24"/>
        </w:rPr>
        <w:t>.</w:t>
      </w:r>
      <w:r w:rsidRPr="005701DB">
        <w:rPr>
          <w:rFonts w:ascii="Times New Roman" w:hAnsi="Times New Roman" w:cs="Times New Roman"/>
          <w:b/>
          <w:sz w:val="24"/>
          <w:szCs w:val="24"/>
        </w:rPr>
        <w:tab/>
        <w:t>Implementation Method</w:t>
      </w:r>
    </w:p>
    <w:p w:rsidR="00436AB2" w:rsidRPr="005701DB" w:rsidRDefault="00A04539">
      <w:pPr>
        <w:pStyle w:val="a0"/>
        <w:tabs>
          <w:tab w:val="left" w:pos="985"/>
        </w:tabs>
        <w:spacing w:line="469" w:lineRule="exact"/>
        <w:ind w:left="960" w:hanging="540"/>
        <w:jc w:val="both"/>
        <w:rPr>
          <w:rFonts w:ascii="Times New Roman" w:hAnsi="Times New Roman" w:cs="Times New Roman"/>
          <w:sz w:val="24"/>
          <w:szCs w:val="24"/>
        </w:rPr>
      </w:pPr>
      <w:bookmarkStart w:id="1" w:name="bookmark1"/>
      <w:r w:rsidRPr="005701DB">
        <w:rPr>
          <w:rFonts w:ascii="Times New Roman" w:hAnsi="Times New Roman" w:cs="Times New Roman"/>
          <w:sz w:val="24"/>
          <w:szCs w:val="24"/>
        </w:rPr>
        <w:t>1</w:t>
      </w:r>
      <w:bookmarkEnd w:id="1"/>
      <w:r w:rsidRPr="005701DB">
        <w:rPr>
          <w:rFonts w:ascii="Times New Roman" w:hAnsi="Times New Roman" w:cs="Times New Roman"/>
          <w:sz w:val="24"/>
          <w:szCs w:val="24"/>
        </w:rPr>
        <w:t>. The college’s subsidization department scholarship procedures for foreign students are implemented according to the “Guidelines for Funds used to Strengthen the College’s Academic Research” according to the amendment and approval by the 1st Academic Development Committee meeting for the 2019 academic year on September 26, 2019.</w:t>
      </w:r>
    </w:p>
    <w:p w:rsidR="00436AB2" w:rsidRPr="005701DB" w:rsidRDefault="00A04539">
      <w:pPr>
        <w:pStyle w:val="a0"/>
        <w:tabs>
          <w:tab w:val="left" w:pos="990"/>
        </w:tabs>
        <w:spacing w:line="469" w:lineRule="exact"/>
        <w:ind w:left="960" w:hanging="540"/>
        <w:jc w:val="both"/>
        <w:rPr>
          <w:rFonts w:ascii="Times New Roman" w:hAnsi="Times New Roman" w:cs="Times New Roman"/>
          <w:sz w:val="24"/>
          <w:szCs w:val="24"/>
        </w:rPr>
      </w:pPr>
      <w:bookmarkStart w:id="2" w:name="bookmark2"/>
      <w:r w:rsidRPr="005701DB">
        <w:rPr>
          <w:rFonts w:ascii="Times New Roman" w:hAnsi="Times New Roman" w:cs="Times New Roman"/>
          <w:sz w:val="24"/>
          <w:szCs w:val="24"/>
        </w:rPr>
        <w:t>2</w:t>
      </w:r>
      <w:bookmarkEnd w:id="2"/>
      <w:r w:rsidRPr="005701DB">
        <w:rPr>
          <w:rFonts w:ascii="Times New Roman" w:hAnsi="Times New Roman" w:cs="Times New Roman"/>
          <w:sz w:val="24"/>
          <w:szCs w:val="24"/>
        </w:rPr>
        <w:t>.</w:t>
      </w:r>
      <w:r w:rsidRPr="005701DB">
        <w:rPr>
          <w:rFonts w:ascii="Times New Roman" w:hAnsi="Times New Roman" w:cs="Times New Roman"/>
          <w:sz w:val="24"/>
          <w:szCs w:val="24"/>
        </w:rPr>
        <w:tab/>
        <w:t>Article 4 of the preceding Guidelines stipulates: “Scholarships for foreign students are awarded each semester based on the number of registered freshmen in each department, institute, and professional school (excluding students from mainland China, Hong Kong, and Macao). Each foreign freshman is awarded a scholarship of NT$60,000, which is awarded in two semesters with a subsidy of NT$30,000 each semester.</w:t>
      </w:r>
      <w:r w:rsidR="005701DB">
        <w:rPr>
          <w:rFonts w:ascii="Times New Roman" w:hAnsi="Times New Roman" w:cs="Times New Roman" w:hint="eastAsia"/>
          <w:sz w:val="24"/>
          <w:szCs w:val="24"/>
          <w:lang w:eastAsia="zh-TW"/>
        </w:rPr>
        <w:t xml:space="preserve"> </w:t>
      </w:r>
      <w:r w:rsidRPr="005701DB">
        <w:rPr>
          <w:rFonts w:ascii="Times New Roman" w:hAnsi="Times New Roman" w:cs="Times New Roman"/>
          <w:sz w:val="24"/>
          <w:szCs w:val="24"/>
        </w:rPr>
        <w:t>Each foreign student shall only be subsidized once per academic period.”</w:t>
      </w:r>
    </w:p>
    <w:p w:rsidR="00436AB2" w:rsidRPr="005701DB" w:rsidRDefault="00A04539">
      <w:pPr>
        <w:pStyle w:val="a0"/>
        <w:tabs>
          <w:tab w:val="left" w:pos="990"/>
        </w:tabs>
        <w:spacing w:after="180" w:line="469" w:lineRule="exact"/>
        <w:ind w:left="960" w:hanging="540"/>
        <w:jc w:val="both"/>
        <w:rPr>
          <w:rFonts w:ascii="Times New Roman" w:hAnsi="Times New Roman" w:cs="Times New Roman"/>
          <w:sz w:val="24"/>
          <w:szCs w:val="24"/>
        </w:rPr>
      </w:pPr>
      <w:bookmarkStart w:id="3" w:name="bookmark3"/>
      <w:r w:rsidRPr="005701DB">
        <w:rPr>
          <w:rFonts w:ascii="Times New Roman" w:hAnsi="Times New Roman" w:cs="Times New Roman"/>
          <w:sz w:val="24"/>
          <w:szCs w:val="24"/>
        </w:rPr>
        <w:t>3</w:t>
      </w:r>
      <w:bookmarkEnd w:id="3"/>
      <w:r w:rsidRPr="005701DB">
        <w:rPr>
          <w:rFonts w:ascii="Times New Roman" w:hAnsi="Times New Roman" w:cs="Times New Roman"/>
          <w:sz w:val="24"/>
          <w:szCs w:val="24"/>
        </w:rPr>
        <w:t>.</w:t>
      </w:r>
      <w:r w:rsidRPr="005701DB">
        <w:rPr>
          <w:rFonts w:ascii="Times New Roman" w:hAnsi="Times New Roman" w:cs="Times New Roman"/>
          <w:sz w:val="24"/>
          <w:szCs w:val="24"/>
        </w:rPr>
        <w:tab/>
        <w:t>This scholarship is awarded to foreign freshmen in the college’s master’s and doctoral programs but does not include students recruited in collaboration with external units.</w:t>
      </w:r>
    </w:p>
    <w:p w:rsidR="00436AB2" w:rsidRPr="005701DB" w:rsidRDefault="00A04539">
      <w:pPr>
        <w:pStyle w:val="a0"/>
        <w:tabs>
          <w:tab w:val="left" w:pos="650"/>
        </w:tabs>
        <w:spacing w:line="475" w:lineRule="exact"/>
        <w:rPr>
          <w:rFonts w:ascii="Times New Roman" w:hAnsi="Times New Roman" w:cs="Times New Roman"/>
          <w:sz w:val="24"/>
          <w:szCs w:val="24"/>
        </w:rPr>
      </w:pPr>
      <w:bookmarkStart w:id="4" w:name="bookmark4"/>
      <w:r w:rsidRPr="005701DB">
        <w:rPr>
          <w:rFonts w:ascii="Times New Roman" w:hAnsi="Times New Roman" w:cs="Times New Roman"/>
          <w:sz w:val="24"/>
          <w:szCs w:val="24"/>
        </w:rPr>
        <w:t>Two</w:t>
      </w:r>
      <w:bookmarkEnd w:id="4"/>
      <w:r w:rsidRPr="005701DB">
        <w:rPr>
          <w:rFonts w:ascii="Times New Roman" w:hAnsi="Times New Roman" w:cs="Times New Roman"/>
          <w:b/>
          <w:sz w:val="24"/>
          <w:szCs w:val="24"/>
        </w:rPr>
        <w:t>.</w:t>
      </w:r>
      <w:r w:rsidRPr="005701DB">
        <w:rPr>
          <w:rFonts w:ascii="Times New Roman" w:hAnsi="Times New Roman" w:cs="Times New Roman"/>
          <w:b/>
          <w:sz w:val="24"/>
          <w:szCs w:val="24"/>
        </w:rPr>
        <w:tab/>
        <w:t>College Funding Review Procedure</w:t>
      </w:r>
    </w:p>
    <w:p w:rsidR="00436AB2" w:rsidRPr="005701DB" w:rsidRDefault="00A04539">
      <w:pPr>
        <w:pStyle w:val="a0"/>
        <w:spacing w:line="475" w:lineRule="exact"/>
        <w:ind w:left="960" w:hanging="540"/>
        <w:jc w:val="both"/>
        <w:rPr>
          <w:rFonts w:ascii="Times New Roman" w:hAnsi="Times New Roman" w:cs="Times New Roman"/>
          <w:sz w:val="24"/>
          <w:szCs w:val="24"/>
        </w:rPr>
      </w:pPr>
      <w:bookmarkStart w:id="5" w:name="bookmark5"/>
      <w:r w:rsidRPr="005701DB">
        <w:rPr>
          <w:rFonts w:ascii="Times New Roman" w:hAnsi="Times New Roman" w:cs="Times New Roman"/>
          <w:sz w:val="24"/>
          <w:szCs w:val="24"/>
        </w:rPr>
        <w:t>1</w:t>
      </w:r>
      <w:bookmarkEnd w:id="5"/>
      <w:r w:rsidRPr="005701DB">
        <w:rPr>
          <w:rFonts w:ascii="Times New Roman" w:hAnsi="Times New Roman" w:cs="Times New Roman"/>
          <w:sz w:val="24"/>
          <w:szCs w:val="24"/>
        </w:rPr>
        <w:t>.</w:t>
      </w:r>
      <w:r w:rsidRPr="005701DB">
        <w:rPr>
          <w:rFonts w:ascii="Times New Roman" w:hAnsi="Times New Roman" w:cs="Times New Roman"/>
          <w:sz w:val="24"/>
          <w:szCs w:val="24"/>
        </w:rPr>
        <w:tab/>
        <w:t>The college shall confirm the registration status of foreign freshmen with each department one month after the start of spring and autumn classes each year and confirm the approved general roster (with the seals of the organizer, department supervisor, and dean) based on the new students’ list provided by the International Office.</w:t>
      </w:r>
    </w:p>
    <w:p w:rsidR="00436AB2" w:rsidRPr="005701DB" w:rsidRDefault="00A04539">
      <w:pPr>
        <w:pStyle w:val="a0"/>
        <w:tabs>
          <w:tab w:val="left" w:pos="990"/>
        </w:tabs>
        <w:spacing w:line="475" w:lineRule="exact"/>
        <w:ind w:left="960" w:hanging="540"/>
        <w:jc w:val="both"/>
        <w:rPr>
          <w:rFonts w:ascii="Times New Roman" w:hAnsi="Times New Roman" w:cs="Times New Roman"/>
          <w:sz w:val="24"/>
          <w:szCs w:val="24"/>
        </w:rPr>
      </w:pPr>
      <w:bookmarkStart w:id="6" w:name="bookmark6"/>
      <w:r w:rsidRPr="005701DB">
        <w:rPr>
          <w:rFonts w:ascii="Times New Roman" w:hAnsi="Times New Roman" w:cs="Times New Roman"/>
          <w:sz w:val="24"/>
          <w:szCs w:val="24"/>
        </w:rPr>
        <w:t>2</w:t>
      </w:r>
      <w:bookmarkEnd w:id="6"/>
      <w:r w:rsidRPr="005701DB">
        <w:rPr>
          <w:rFonts w:ascii="Times New Roman" w:hAnsi="Times New Roman" w:cs="Times New Roman"/>
          <w:sz w:val="24"/>
          <w:szCs w:val="24"/>
        </w:rPr>
        <w:t>.</w:t>
      </w:r>
      <w:r w:rsidRPr="005701DB">
        <w:rPr>
          <w:rFonts w:ascii="Times New Roman" w:hAnsi="Times New Roman" w:cs="Times New Roman"/>
          <w:sz w:val="24"/>
          <w:szCs w:val="24"/>
        </w:rPr>
        <w:tab/>
        <w:t>After the school compiles and approves the roster, each new master’s and doctoral student shall receive an NT$30,000 subsidy per semester, which shall be issued to the student’s department in two semesters. The student’s department must sign a request for approval to spend the funds.</w:t>
      </w:r>
    </w:p>
    <w:p w:rsidR="00436AB2" w:rsidRPr="005701DB" w:rsidRDefault="00A04539" w:rsidP="005701DB">
      <w:pPr>
        <w:pStyle w:val="a0"/>
        <w:spacing w:after="180" w:line="475" w:lineRule="exact"/>
        <w:ind w:leftChars="175" w:left="993" w:hanging="573"/>
        <w:rPr>
          <w:rFonts w:ascii="Times New Roman" w:hAnsi="Times New Roman" w:cs="Times New Roman"/>
          <w:sz w:val="24"/>
          <w:szCs w:val="24"/>
        </w:rPr>
      </w:pPr>
      <w:bookmarkStart w:id="7" w:name="bookmark7"/>
      <w:r w:rsidRPr="005701DB">
        <w:rPr>
          <w:rFonts w:ascii="Times New Roman" w:hAnsi="Times New Roman" w:cs="Times New Roman"/>
          <w:sz w:val="24"/>
          <w:szCs w:val="24"/>
        </w:rPr>
        <w:t>3</w:t>
      </w:r>
      <w:bookmarkEnd w:id="7"/>
      <w:r w:rsidRPr="005701DB">
        <w:rPr>
          <w:rFonts w:ascii="Times New Roman" w:hAnsi="Times New Roman" w:cs="Times New Roman"/>
          <w:sz w:val="24"/>
          <w:szCs w:val="24"/>
        </w:rPr>
        <w:t>.</w:t>
      </w:r>
      <w:r w:rsidRPr="005701DB">
        <w:rPr>
          <w:rFonts w:ascii="Times New Roman" w:hAnsi="Times New Roman" w:cs="Times New Roman"/>
          <w:sz w:val="24"/>
          <w:szCs w:val="24"/>
        </w:rPr>
        <w:tab/>
        <w:t>The college shall deliver a letter to each department, provide the purchase requisition number, and request that the department assist in the subsequent verification process.</w:t>
      </w:r>
    </w:p>
    <w:p w:rsidR="00436AB2" w:rsidRPr="005701DB" w:rsidRDefault="00A04539">
      <w:pPr>
        <w:pStyle w:val="a0"/>
        <w:tabs>
          <w:tab w:val="left" w:pos="650"/>
        </w:tabs>
        <w:spacing w:line="451" w:lineRule="exact"/>
        <w:rPr>
          <w:rFonts w:ascii="Times New Roman" w:hAnsi="Times New Roman" w:cs="Times New Roman"/>
          <w:sz w:val="24"/>
          <w:szCs w:val="24"/>
        </w:rPr>
      </w:pPr>
      <w:bookmarkStart w:id="8" w:name="bookmark8"/>
      <w:r w:rsidRPr="005701DB">
        <w:rPr>
          <w:rFonts w:ascii="Times New Roman" w:hAnsi="Times New Roman" w:cs="Times New Roman"/>
          <w:sz w:val="24"/>
          <w:szCs w:val="24"/>
        </w:rPr>
        <w:t>Three</w:t>
      </w:r>
      <w:bookmarkEnd w:id="8"/>
      <w:r w:rsidRPr="005701DB">
        <w:rPr>
          <w:rFonts w:ascii="Times New Roman" w:hAnsi="Times New Roman" w:cs="Times New Roman"/>
          <w:b/>
          <w:sz w:val="24"/>
          <w:szCs w:val="24"/>
        </w:rPr>
        <w:t>.</w:t>
      </w:r>
      <w:r w:rsidRPr="005701DB">
        <w:rPr>
          <w:rFonts w:ascii="Times New Roman" w:hAnsi="Times New Roman" w:cs="Times New Roman"/>
          <w:b/>
          <w:sz w:val="24"/>
          <w:szCs w:val="24"/>
        </w:rPr>
        <w:tab/>
        <w:t>Department Verification Process and Precautions</w:t>
      </w:r>
    </w:p>
    <w:p w:rsidR="00436AB2" w:rsidRPr="005701DB" w:rsidRDefault="00A04539" w:rsidP="005701DB">
      <w:pPr>
        <w:pStyle w:val="a0"/>
        <w:spacing w:line="451" w:lineRule="exact"/>
        <w:ind w:leftChars="175" w:left="993" w:hanging="573"/>
        <w:rPr>
          <w:rFonts w:ascii="Times New Roman" w:hAnsi="Times New Roman" w:cs="Times New Roman"/>
          <w:sz w:val="24"/>
          <w:szCs w:val="24"/>
        </w:rPr>
      </w:pPr>
      <w:bookmarkStart w:id="9" w:name="bookmark9"/>
      <w:r w:rsidRPr="005701DB">
        <w:rPr>
          <w:rFonts w:ascii="Times New Roman" w:hAnsi="Times New Roman" w:cs="Times New Roman"/>
          <w:sz w:val="24"/>
          <w:szCs w:val="24"/>
        </w:rPr>
        <w:t>1.</w:t>
      </w:r>
      <w:bookmarkEnd w:id="9"/>
      <w:r w:rsidRPr="005701DB">
        <w:rPr>
          <w:rFonts w:ascii="Times New Roman" w:hAnsi="Times New Roman" w:cs="Times New Roman"/>
          <w:sz w:val="24"/>
          <w:szCs w:val="24"/>
        </w:rPr>
        <w:tab/>
        <w:t>Attach the following documents and send them to the department supervisor, cashier team, and accounting office for approval before proceeding with fund appropriation.</w:t>
      </w:r>
    </w:p>
    <w:p w:rsidR="00436AB2" w:rsidRPr="005701DB" w:rsidRDefault="00A04539">
      <w:pPr>
        <w:pStyle w:val="a0"/>
        <w:numPr>
          <w:ilvl w:val="0"/>
          <w:numId w:val="1"/>
        </w:numPr>
        <w:tabs>
          <w:tab w:val="left" w:pos="1335"/>
        </w:tabs>
        <w:spacing w:after="180" w:line="451" w:lineRule="exact"/>
        <w:ind w:firstLine="960"/>
        <w:rPr>
          <w:rFonts w:ascii="Times New Roman" w:hAnsi="Times New Roman" w:cs="Times New Roman"/>
          <w:sz w:val="24"/>
          <w:szCs w:val="24"/>
        </w:rPr>
      </w:pPr>
      <w:bookmarkStart w:id="10" w:name="bookmark10"/>
      <w:bookmarkEnd w:id="10"/>
      <w:r w:rsidRPr="005701DB">
        <w:rPr>
          <w:rFonts w:ascii="Times New Roman" w:hAnsi="Times New Roman" w:cs="Times New Roman"/>
          <w:sz w:val="24"/>
          <w:szCs w:val="24"/>
        </w:rPr>
        <w:t>1 copy of the general roster approved and signed off by the dean.</w:t>
      </w:r>
    </w:p>
    <w:p w:rsidR="00436AB2" w:rsidRPr="005701DB" w:rsidRDefault="00A04539">
      <w:pPr>
        <w:pStyle w:val="a0"/>
        <w:numPr>
          <w:ilvl w:val="0"/>
          <w:numId w:val="1"/>
        </w:numPr>
        <w:tabs>
          <w:tab w:val="left" w:pos="1335"/>
        </w:tabs>
        <w:spacing w:line="394" w:lineRule="auto"/>
        <w:ind w:firstLine="960"/>
        <w:rPr>
          <w:rFonts w:ascii="Times New Roman" w:hAnsi="Times New Roman" w:cs="Times New Roman"/>
          <w:sz w:val="24"/>
          <w:szCs w:val="24"/>
        </w:rPr>
      </w:pPr>
      <w:bookmarkStart w:id="11" w:name="bookmark11"/>
      <w:bookmarkEnd w:id="11"/>
      <w:r w:rsidRPr="005701DB">
        <w:rPr>
          <w:rFonts w:ascii="Times New Roman" w:hAnsi="Times New Roman" w:cs="Times New Roman"/>
          <w:sz w:val="24"/>
          <w:szCs w:val="24"/>
        </w:rPr>
        <w:t>1 copy of the voucher details form.</w:t>
      </w:r>
    </w:p>
    <w:p w:rsidR="00436AB2" w:rsidRPr="005701DB" w:rsidRDefault="00A04539">
      <w:pPr>
        <w:pStyle w:val="a0"/>
        <w:numPr>
          <w:ilvl w:val="0"/>
          <w:numId w:val="1"/>
        </w:numPr>
        <w:tabs>
          <w:tab w:val="left" w:pos="1335"/>
        </w:tabs>
        <w:spacing w:line="451" w:lineRule="exact"/>
        <w:ind w:firstLine="960"/>
        <w:rPr>
          <w:rFonts w:ascii="Times New Roman" w:hAnsi="Times New Roman" w:cs="Times New Roman"/>
          <w:sz w:val="24"/>
          <w:szCs w:val="24"/>
        </w:rPr>
      </w:pPr>
      <w:bookmarkStart w:id="12" w:name="bookmark12"/>
      <w:bookmarkEnd w:id="12"/>
      <w:r w:rsidRPr="005701DB">
        <w:rPr>
          <w:rFonts w:ascii="Times New Roman" w:hAnsi="Times New Roman" w:cs="Times New Roman"/>
          <w:sz w:val="24"/>
          <w:szCs w:val="24"/>
        </w:rPr>
        <w:lastRenderedPageBreak/>
        <w:t>1 copy of the payee’s account information form.</w:t>
      </w:r>
    </w:p>
    <w:p w:rsidR="00436AB2" w:rsidRPr="005701DB" w:rsidRDefault="00A04539">
      <w:pPr>
        <w:pStyle w:val="a0"/>
        <w:numPr>
          <w:ilvl w:val="0"/>
          <w:numId w:val="1"/>
        </w:numPr>
        <w:tabs>
          <w:tab w:val="left" w:pos="1343"/>
        </w:tabs>
        <w:spacing w:line="451" w:lineRule="exact"/>
        <w:ind w:left="1360" w:hanging="380"/>
        <w:rPr>
          <w:rFonts w:ascii="Times New Roman" w:hAnsi="Times New Roman" w:cs="Times New Roman"/>
          <w:sz w:val="24"/>
          <w:szCs w:val="24"/>
        </w:rPr>
      </w:pPr>
      <w:bookmarkStart w:id="13" w:name="bookmark13"/>
      <w:bookmarkEnd w:id="13"/>
      <w:r w:rsidRPr="005701DB">
        <w:rPr>
          <w:rFonts w:ascii="Times New Roman" w:hAnsi="Times New Roman" w:cs="Times New Roman"/>
          <w:sz w:val="24"/>
          <w:szCs w:val="24"/>
        </w:rPr>
        <w:t>Print two copies of the receipt list for the cashier team and accounting office. The format is shown in the attached document (since foreign student scholarships do not require income tax deduction, there is no need to enter the income tax system).</w:t>
      </w:r>
    </w:p>
    <w:p w:rsidR="00436AB2" w:rsidRPr="005701DB" w:rsidRDefault="00A04539">
      <w:pPr>
        <w:pStyle w:val="a0"/>
        <w:spacing w:line="470" w:lineRule="exact"/>
        <w:ind w:left="1960" w:hanging="720"/>
        <w:jc w:val="both"/>
        <w:rPr>
          <w:rFonts w:ascii="Times New Roman" w:hAnsi="Times New Roman" w:cs="Times New Roman"/>
          <w:sz w:val="24"/>
          <w:szCs w:val="24"/>
        </w:rPr>
      </w:pPr>
      <w:r w:rsidRPr="005701DB">
        <w:rPr>
          <w:rFonts w:ascii="Times New Roman" w:hAnsi="Times New Roman" w:cs="Times New Roman"/>
          <w:sz w:val="24"/>
          <w:szCs w:val="24"/>
        </w:rPr>
        <w:t>Note: When a scholarship is awarded to a new student</w:t>
      </w:r>
      <w:bookmarkStart w:id="14" w:name="_GoBack"/>
      <w:bookmarkEnd w:id="14"/>
      <w:r w:rsidRPr="005701DB">
        <w:rPr>
          <w:rFonts w:ascii="Times New Roman" w:hAnsi="Times New Roman" w:cs="Times New Roman"/>
          <w:sz w:val="24"/>
          <w:szCs w:val="24"/>
        </w:rPr>
        <w:t xml:space="preserve"> for the first time, the student must submit a copy of his or her residence permit and bankbook for information input (but only a photocopy of the bankbook is required for cancellation).</w:t>
      </w:r>
    </w:p>
    <w:p w:rsidR="00436AB2" w:rsidRPr="005701DB" w:rsidRDefault="00A04539" w:rsidP="005701DB">
      <w:pPr>
        <w:pStyle w:val="a0"/>
        <w:spacing w:line="470" w:lineRule="exact"/>
        <w:ind w:leftChars="175" w:left="851" w:hanging="431"/>
        <w:rPr>
          <w:rFonts w:ascii="Times New Roman" w:hAnsi="Times New Roman" w:cs="Times New Roman"/>
          <w:sz w:val="24"/>
          <w:szCs w:val="24"/>
        </w:rPr>
      </w:pPr>
      <w:bookmarkStart w:id="15" w:name="bookmark14"/>
      <w:r w:rsidRPr="005701DB">
        <w:rPr>
          <w:rFonts w:ascii="Times New Roman" w:hAnsi="Times New Roman" w:cs="Times New Roman"/>
          <w:sz w:val="24"/>
          <w:szCs w:val="24"/>
        </w:rPr>
        <w:t>2</w:t>
      </w:r>
      <w:bookmarkEnd w:id="15"/>
      <w:r w:rsidRPr="005701DB">
        <w:rPr>
          <w:rFonts w:ascii="Times New Roman" w:hAnsi="Times New Roman" w:cs="Times New Roman"/>
          <w:sz w:val="24"/>
          <w:szCs w:val="24"/>
        </w:rPr>
        <w:t>.</w:t>
      </w:r>
      <w:r w:rsidRPr="005701DB">
        <w:rPr>
          <w:rFonts w:ascii="Times New Roman" w:hAnsi="Times New Roman" w:cs="Times New Roman"/>
          <w:sz w:val="24"/>
          <w:szCs w:val="24"/>
        </w:rPr>
        <w:tab/>
        <w:t>All departments are requested to help finish scholarship allocation matters by June for spring classes and December for fall classes.</w:t>
      </w:r>
    </w:p>
    <w:p w:rsidR="00436AB2" w:rsidRPr="005701DB" w:rsidRDefault="00A04539" w:rsidP="005701DB">
      <w:pPr>
        <w:pStyle w:val="a0"/>
        <w:spacing w:line="470" w:lineRule="exact"/>
        <w:ind w:leftChars="175" w:left="851" w:hanging="431"/>
        <w:rPr>
          <w:rFonts w:ascii="Times New Roman" w:hAnsi="Times New Roman" w:cs="Times New Roman"/>
          <w:sz w:val="24"/>
          <w:szCs w:val="24"/>
        </w:rPr>
      </w:pPr>
      <w:bookmarkStart w:id="16" w:name="bookmark15"/>
      <w:r w:rsidRPr="005701DB">
        <w:rPr>
          <w:rFonts w:ascii="Times New Roman" w:hAnsi="Times New Roman" w:cs="Times New Roman"/>
          <w:sz w:val="24"/>
          <w:szCs w:val="24"/>
        </w:rPr>
        <w:t>3</w:t>
      </w:r>
      <w:bookmarkEnd w:id="16"/>
      <w:r w:rsidRPr="005701DB">
        <w:rPr>
          <w:rFonts w:ascii="Times New Roman" w:hAnsi="Times New Roman" w:cs="Times New Roman"/>
          <w:sz w:val="24"/>
          <w:szCs w:val="24"/>
        </w:rPr>
        <w:t>.</w:t>
      </w:r>
      <w:r w:rsidRPr="005701DB">
        <w:rPr>
          <w:rFonts w:ascii="Times New Roman" w:hAnsi="Times New Roman" w:cs="Times New Roman"/>
          <w:sz w:val="24"/>
          <w:szCs w:val="24"/>
        </w:rPr>
        <w:tab/>
        <w:t>Please notify the college if an award-winning international student takes a leave of absence or withdraws from school during the semester.</w:t>
      </w:r>
    </w:p>
    <w:p w:rsidR="00436AB2" w:rsidRPr="005701DB" w:rsidRDefault="00A04539" w:rsidP="005701DB">
      <w:pPr>
        <w:pStyle w:val="a0"/>
        <w:spacing w:line="469" w:lineRule="exact"/>
        <w:ind w:leftChars="175" w:left="851" w:hanging="431"/>
        <w:rPr>
          <w:rFonts w:ascii="Times New Roman" w:hAnsi="Times New Roman" w:cs="Times New Roman"/>
          <w:sz w:val="24"/>
          <w:szCs w:val="24"/>
        </w:rPr>
      </w:pPr>
      <w:bookmarkStart w:id="17" w:name="bookmark16"/>
      <w:r w:rsidRPr="005701DB">
        <w:rPr>
          <w:rFonts w:ascii="Times New Roman" w:hAnsi="Times New Roman" w:cs="Times New Roman"/>
          <w:sz w:val="24"/>
          <w:szCs w:val="24"/>
        </w:rPr>
        <w:t>4</w:t>
      </w:r>
      <w:bookmarkEnd w:id="17"/>
      <w:r w:rsidRPr="005701DB">
        <w:rPr>
          <w:rFonts w:ascii="Times New Roman" w:hAnsi="Times New Roman" w:cs="Times New Roman"/>
          <w:sz w:val="24"/>
          <w:szCs w:val="24"/>
        </w:rPr>
        <w:t>.</w:t>
      </w:r>
      <w:r w:rsidRPr="005701DB">
        <w:rPr>
          <w:rFonts w:ascii="Times New Roman" w:hAnsi="Times New Roman" w:cs="Times New Roman"/>
          <w:sz w:val="24"/>
          <w:szCs w:val="24"/>
        </w:rPr>
        <w:tab/>
        <w:t>If a student is not eligible to receive this scholarship, please notify the college to cancel his or her qualification.</w:t>
      </w:r>
    </w:p>
    <w:sectPr w:rsidR="00436AB2" w:rsidRPr="005701DB">
      <w:pgSz w:w="11909" w:h="16840"/>
      <w:pgMar w:top="820" w:right="1145" w:bottom="820" w:left="836" w:header="392" w:footer="39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A9" w:rsidRDefault="00A04539">
      <w:r>
        <w:separator/>
      </w:r>
    </w:p>
  </w:endnote>
  <w:endnote w:type="continuationSeparator" w:id="0">
    <w:p w:rsidR="006D08A9" w:rsidRDefault="00A0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AB2" w:rsidRDefault="00436AB2"/>
  </w:footnote>
  <w:footnote w:type="continuationSeparator" w:id="0">
    <w:p w:rsidR="00436AB2" w:rsidRDefault="00436A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A28B5"/>
    <w:multiLevelType w:val="multilevel"/>
    <w:tmpl w:val="10C00A3A"/>
    <w:lvl w:ilvl="0">
      <w:start w:val="1"/>
      <w:numFmt w:val="decimal"/>
      <w:lvlText w:val="(%1)."/>
      <w:lvlJc w:val="left"/>
      <w:rPr>
        <w:rFonts w:hint="eastAs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B2"/>
    <w:rsid w:val="00436AB2"/>
    <w:rsid w:val="005701DB"/>
    <w:rsid w:val="006D08A9"/>
    <w:rsid w:val="00A04539"/>
    <w:rsid w:val="00EF5C3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8720B"/>
  <w15:docId w15:val="{DC43BF97-1B25-4EA6-8821-EC61E2DF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Courier New"/>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內文文字 (3)_"/>
    <w:basedOn w:val="DefaultParagraphFont"/>
    <w:link w:val="30"/>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內文文字 (2)_"/>
    <w:basedOn w:val="DefaultParagraphFont"/>
    <w:link w:val="20"/>
    <w:rPr>
      <w:rFonts w:ascii="細明體" w:eastAsia="細明體" w:hAnsi="細明體" w:cs="細明體"/>
      <w:b/>
      <w:bCs/>
      <w:i w:val="0"/>
      <w:iCs w:val="0"/>
      <w:smallCaps w:val="0"/>
      <w:strike w:val="0"/>
      <w:sz w:val="30"/>
      <w:szCs w:val="30"/>
      <w:u w:val="none"/>
      <w:shd w:val="clear" w:color="auto" w:fill="auto"/>
    </w:rPr>
  </w:style>
  <w:style w:type="character" w:customStyle="1" w:styleId="a">
    <w:name w:val="內文文字_"/>
    <w:basedOn w:val="DefaultParagraphFont"/>
    <w:link w:val="a0"/>
    <w:rPr>
      <w:rFonts w:ascii="細明體" w:eastAsia="細明體" w:hAnsi="細明體" w:cs="細明體"/>
      <w:b w:val="0"/>
      <w:bCs w:val="0"/>
      <w:i w:val="0"/>
      <w:iCs w:val="0"/>
      <w:smallCaps w:val="0"/>
      <w:strike w:val="0"/>
      <w:sz w:val="22"/>
      <w:szCs w:val="22"/>
      <w:u w:val="none"/>
      <w:shd w:val="clear" w:color="auto" w:fill="auto"/>
    </w:rPr>
  </w:style>
  <w:style w:type="paragraph" w:customStyle="1" w:styleId="30">
    <w:name w:val="內文文字 (3)"/>
    <w:basedOn w:val="Normal"/>
    <w:link w:val="3"/>
    <w:pPr>
      <w:spacing w:after="100"/>
      <w:jc w:val="right"/>
    </w:pPr>
    <w:rPr>
      <w:rFonts w:ascii="Times New Roman" w:eastAsia="Times New Roman" w:hAnsi="Times New Roman" w:cs="Times New Roman"/>
    </w:rPr>
  </w:style>
  <w:style w:type="paragraph" w:customStyle="1" w:styleId="20">
    <w:name w:val="內文文字 (2)"/>
    <w:basedOn w:val="Normal"/>
    <w:link w:val="2"/>
    <w:pPr>
      <w:jc w:val="center"/>
    </w:pPr>
    <w:rPr>
      <w:rFonts w:ascii="細明體" w:eastAsia="細明體" w:hAnsi="細明體" w:cs="細明體"/>
      <w:b/>
      <w:bCs/>
      <w:sz w:val="30"/>
      <w:szCs w:val="30"/>
    </w:rPr>
  </w:style>
  <w:style w:type="paragraph" w:customStyle="1" w:styleId="a0">
    <w:name w:val="內文文字"/>
    <w:basedOn w:val="Normal"/>
    <w:link w:val="a"/>
    <w:pPr>
      <w:spacing w:line="427" w:lineRule="auto"/>
    </w:pPr>
    <w:rPr>
      <w:rFonts w:ascii="細明體" w:eastAsia="細明體" w:hAnsi="細明體" w:cs="細明體"/>
      <w:sz w:val="22"/>
      <w:szCs w:val="22"/>
    </w:rPr>
  </w:style>
  <w:style w:type="paragraph" w:styleId="Header">
    <w:name w:val="header"/>
    <w:basedOn w:val="Normal"/>
    <w:link w:val="HeaderChar"/>
    <w:uiPriority w:val="99"/>
    <w:unhideWhenUsed/>
    <w:rsid w:val="005701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701DB"/>
    <w:rPr>
      <w:rFonts w:eastAsia="Courier New"/>
      <w:color w:val="000000"/>
      <w:sz w:val="20"/>
      <w:szCs w:val="20"/>
    </w:rPr>
  </w:style>
  <w:style w:type="paragraph" w:styleId="Footer">
    <w:name w:val="footer"/>
    <w:basedOn w:val="Normal"/>
    <w:link w:val="FooterChar"/>
    <w:uiPriority w:val="99"/>
    <w:unhideWhenUsed/>
    <w:rsid w:val="005701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701DB"/>
    <w:rPr>
      <w:rFonts w:eastAsia="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2729</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理學院補助系所外籍生獎學金作業流程-自2020起20211125</dc:title>
  <dc:subject/>
  <dc:creator>Gwen Lo</dc:creator>
  <cp:keywords/>
  <cp:lastModifiedBy>PTSGI</cp:lastModifiedBy>
  <cp:revision>4</cp:revision>
  <dcterms:created xsi:type="dcterms:W3CDTF">2023-10-05T10:27:00Z</dcterms:created>
  <dcterms:modified xsi:type="dcterms:W3CDTF">2023-10-20T08:19:00Z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ff2904066b075c473d018904d9ba4e9e088ee7001c19b0fc2f92050378f5785e</vt:lpwstr>
  </property>
</Properties>
</file>